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</w:pPr>
      <w:r>
        <w:rPr>
          <w:b/>
          <w:color w:val="2F8F46"/>
          <w:sz w:val="16"/>
        </w:rPr>
        <w:t>ARBEITSVORLAGE AUS DEM BUCH</w:t>
      </w:r>
    </w:p>
    <w:p>
      <w:pPr>
        <w:pStyle w:val="Title"/>
      </w:pPr>
      <w:r>
        <w:t>KI-Richtlinie für den Arbeitsalltag</w:t>
      </w:r>
    </w:p>
    <w:p>
      <w:pPr>
        <w:spacing w:after="240"/>
      </w:pPr>
      <w:r>
        <w:rPr>
          <w:color w:val="56616A"/>
          <w:sz w:val="24"/>
        </w:rPr>
        <w:t>Entscheidbarer Rahmen für Daten, Apps, Handlungen, Freigaben und Prüfung.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KAPITEL  32–33, 36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VERSION  v1.0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RISIKO  HOCH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98"/>
        <w:gridCol w:w="4933"/>
      </w:tblGrid>
      <w:tr>
        <w:tc>
          <w:tcPr>
            <w:tcW w:type="dxa" w:w="4933"/>
            <w:shd w:fill="F35C3F"/>
          </w:tcPr>
          <w:p/>
        </w:tc>
        <w:tc>
          <w:tcPr>
            <w:tcW w:type="dxa" w:w="4933"/>
            <w:shd w:fill="FFF3D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2F8F46"/>
                <w:sz w:val="16"/>
              </w:rPr>
              <w:t>WICHTIGER HINWEIS</w:t>
            </w:r>
          </w:p>
          <w:p>
            <w:pPr>
              <w:spacing w:after="0"/>
            </w:pPr>
            <w:r>
              <w:t>Diese Vorlage ist keine Rechtsberatung. Datenschutz, Arbeitsrecht, Mitbestimmung, Informationssicherheit und Branchenpflichten qualifiziert ergänzen.</w:t>
            </w:r>
          </w:p>
        </w:tc>
      </w:tr>
    </w:tbl>
    <w:p>
      <w:pPr>
        <w:pStyle w:val="Heading1"/>
      </w:pPr>
      <w:r>
        <w:t>1  Zweck, Geltung und Verantwortung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Organisation / Bereich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Für wen und welche Tätigkeiten gilt die Richtlinie?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Zweck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 sichere und nützliche Verwendung soll sie ermöglichen?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Verantwortlich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Wer pflegt die Richtlinie und entscheidet im Zweifel?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Kontakt / Eskalation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Wo erhalten Mitarbeitende zeitnah Hilfe?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2  Daten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2F8F46"/>
          </w:tcPr>
          <w:p>
            <w:r>
              <w:rPr>
                <w:color w:val="FFFFFF"/>
              </w:rPr>
              <w:t>Kategorie</w:t>
            </w:r>
          </w:p>
        </w:tc>
        <w:tc>
          <w:tcPr>
            <w:tcW w:type="dxa" w:w="2466"/>
            <w:shd w:fill="2F8F46"/>
          </w:tcPr>
          <w:p>
            <w:r>
              <w:rPr>
                <w:color w:val="FFFFFF"/>
              </w:rPr>
              <w:t>Beispiele</w:t>
            </w:r>
          </w:p>
        </w:tc>
        <w:tc>
          <w:tcPr>
            <w:tcW w:type="dxa" w:w="2466"/>
            <w:shd w:fill="2F8F46"/>
          </w:tcPr>
          <w:p>
            <w:r>
              <w:rPr>
                <w:color w:val="FFFFFF"/>
              </w:rPr>
              <w:t>Bedingung</w:t>
            </w:r>
          </w:p>
        </w:tc>
        <w:tc>
          <w:tcPr>
            <w:tcW w:type="dxa" w:w="2466"/>
            <w:shd w:fill="2F8F46"/>
          </w:tcPr>
          <w:p>
            <w:r>
              <w:rPr>
                <w:color w:val="FFFFFF"/>
              </w:rPr>
              <w:t>Entscheidung durch</w:t>
            </w:r>
          </w:p>
        </w:tc>
      </w:tr>
      <w:tr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>
            <w:r>
              <w:t>erlaubt</w:t>
            </w:r>
          </w:p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</w:tr>
      <w:tr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>
            <w:r>
              <w:t>nur nach Freigabe</w:t>
            </w:r>
          </w:p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</w:tr>
      <w:tr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>
            <w:r>
              <w:t>verboten</w:t>
            </w:r>
          </w:p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  <w:tc>
          <w:tcPr>
            <w:tcW w:type="dxa" w:w="2466"/>
            <w:tcMar>
              <w:top w:w="180" w:type="dxa"/>
              <w:start w:w="90" w:type="dxa"/>
              <w:bottom w:w="180" w:type="dxa"/>
              <w:end w:w="90" w:type="dxa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>3  Apps, Quellen und Zugriffe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Erlaubte Apps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Name, erlaubter Zweck und Datenarten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Sonderfreigabe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Apps oder Quellen, die einzeln genehmigt werden müssen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Neue Verbindungen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Prüfung, Freigabe und Dokumentation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Zugriffsprinzip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Nur notwendige, rollenbezogene Rechte; regelmäßige Prüfung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4  Handlungen mit menschlicher Freigabe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Externer Versand oder Veröffentlichung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Löschen oder dauerhaftes Überschreiben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Bestellung, Zahlung oder finanzielle Verpflichtung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Änderung von Zugriffsrechten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Verbindliche rechtliche, personelle oder geschäftliche Entscheidung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Weitere organisationsspezifische Handlung: 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5  Qualität, Vorfälle und Überprüfung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Mindestprüfung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Quellenpflicht, Prüftiefe, fachliche Freigabe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Dokumentation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muss für welche Arbeitsfälle nachvollziehbar bleiben?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Vorfälle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Sofortmaßnahme, Meldestelle, Schutz betroffener Daten und Personen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Regelmäßige Prüfung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Rhythmus, verantwortliche Person, nächste Fälligkeit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Ereignisauslöser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Neue Funktion, Vorfall, Rechtsänderung, neue Quelle oder Prozessänderung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Praxistest vor Freigabe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Fünf echte Alltagssituationen lassen sich eindeutig einordnen.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Mitarbeitende erkennen erlaubt, genehmigungspflichtig und verboten.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Ansprechpartner und Reaktionsweg sind praktisch erreichbar.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Die technische Einstellung wurde gegen die Richtlinie geprüft.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Freigabe, Gültigkeitsdatum und nächster Prüftermin sind dokumentiert.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Freigabe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Name, Rolle, Datum, Gültig ab, nächste Prüfung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6616A"/>
        <w:sz w:val="15"/>
      </w:rPr>
      <w:t xml:space="preserve">allesimgriff.ai  ·  Version v1.0  ·  16. Juli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12" w:space="5" w:color="2F8F46"/>
      </w:pBdr>
    </w:pPr>
    <w:r>
      <w:rPr>
        <w:b/>
        <w:color w:val="2F8F46"/>
        <w:sz w:val="16"/>
      </w:rPr>
      <w:t>ALLES IM GRIFF  /  BEGLEITSEITE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B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11B2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F8F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 w:val="0"/>
      <w:color w:val="111B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